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97625" w:rsidRDefault="00F97625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DA713A" w:rsidRPr="00DA713A" w:rsidRDefault="009E1DBE" w:rsidP="00DA7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  <w:r w:rsidR="00DA713A" w:rsidRPr="00DA713A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="00DA713A" w:rsidRPr="00DA713A">
        <w:rPr>
          <w:rFonts w:ascii="Arial" w:hAnsi="Arial" w:cs="Arial"/>
          <w:color w:val="000000" w:themeColor="text1"/>
          <w:sz w:val="28"/>
          <w:szCs w:val="28"/>
        </w:rPr>
        <w:t xml:space="preserve"> Об определении мощности двигателя транспортного средства при исчислении налоговыми органами транспортного налога.</w:t>
      </w:r>
    </w:p>
    <w:p w:rsidR="00DA713A" w:rsidRPr="00DA713A" w:rsidRDefault="00DA713A" w:rsidP="00DA71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DA713A" w:rsidRPr="00DA713A" w:rsidRDefault="00DA713A" w:rsidP="00DA7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В рамках рассмотрения обращения в соответствии с Федеральным </w:t>
      </w:r>
      <w:hyperlink r:id="rId10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законом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от 02.05.2006 N 59-ФЗ "О порядке рассмотрения обращений граждан Российской Федерации" направлены разъяснения письмами УФНС России по Московской области от 15.04.2022 N 17-11/025060@, УФНС России по Белгородской области от 19.04.2022 N 20-10/04583 и УФНС России по Волгоградской области от 22.04.2022 N 17-27/10322@.</w:t>
      </w:r>
      <w:proofErr w:type="gramEnd"/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Дополнительно обращаем внимание на то, что в соответствии со </w:t>
      </w:r>
      <w:hyperlink r:id="rId11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статьей 357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налогоплательщиками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12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статьей 358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color w:val="000000" w:themeColor="text1"/>
          <w:sz w:val="28"/>
          <w:szCs w:val="28"/>
        </w:rPr>
        <w:t>Объектом налогообложения по налогу признаются автомобили и другие транспортные средства, зарегистрированные в установленном порядке в соответствии с законодательством Российской Федерации (</w:t>
      </w:r>
      <w:hyperlink r:id="rId13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пункт 1 статьи 358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Кодекса).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4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пункту 1 статьи 359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Кодекса налоговая база по налогу определяется в отношении транспортных средств, имеющих двигатели, - как мощность двигателя транспортного средства в лошадиных силах.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5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Пунктом 1 статьи 362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Кодекса установлено, что сумма налога, подлежащая уплате налогоплательщиками - физическими лицами, исчисляется налоговыми органами на основании сведений органов (организаций, должностных лиц), осуществляющих государственную регистрацию транспортных сре</w:t>
      </w:r>
      <w:proofErr w:type="gramStart"/>
      <w:r w:rsidRPr="00DA713A">
        <w:rPr>
          <w:rFonts w:ascii="Arial" w:hAnsi="Arial" w:cs="Arial"/>
          <w:color w:val="000000" w:themeColor="text1"/>
          <w:sz w:val="28"/>
          <w:szCs w:val="28"/>
        </w:rPr>
        <w:t>дств в с</w:t>
      </w:r>
      <w:proofErr w:type="gramEnd"/>
      <w:r w:rsidRPr="00DA713A">
        <w:rPr>
          <w:rFonts w:ascii="Arial" w:hAnsi="Arial" w:cs="Arial"/>
          <w:color w:val="000000" w:themeColor="text1"/>
          <w:sz w:val="28"/>
          <w:szCs w:val="28"/>
        </w:rPr>
        <w:t>оответствии с законодательством Российской Федерации.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color w:val="000000" w:themeColor="text1"/>
          <w:sz w:val="28"/>
          <w:szCs w:val="28"/>
        </w:rPr>
        <w:lastRenderedPageBreak/>
        <w:t>Таким образом, исчисление налога в отношении транспортного средства осуществляется налоговыми органами на основании информации (в том числе о мощности двигателя транспортного средства), представляемой в налоговые органы органами, осуществляющими государственную регистрацию транспортных средств.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Учитывая изложенное, обязанность по уплате налога по имеющим двигатели транспортным средствам ставится в зависимость от регистрации объекта </w:t>
      </w:r>
      <w:proofErr w:type="gramStart"/>
      <w:r w:rsidRPr="00DA713A">
        <w:rPr>
          <w:rFonts w:ascii="Arial" w:hAnsi="Arial" w:cs="Arial"/>
          <w:color w:val="000000" w:themeColor="text1"/>
          <w:sz w:val="28"/>
          <w:szCs w:val="28"/>
        </w:rPr>
        <w:t>налогообложения</w:t>
      </w:r>
      <w:proofErr w:type="gramEnd"/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с указанием мощности зарегистрированного на него двигателя, а не от фактической мощности двигателя транспортного средства.</w:t>
      </w:r>
    </w:p>
    <w:p w:rsidR="00DA713A" w:rsidRPr="00DA713A" w:rsidRDefault="00DA713A" w:rsidP="00DA71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Дополнительно обращаем внимание, что в случае несогласия с актом ненормативного характера, действием (бездействием) налогового органа заинтересованное лицо имеет право обжаловать такие акты, действия или бездействие в соответствии со </w:t>
      </w:r>
      <w:hyperlink r:id="rId16" w:history="1">
        <w:r w:rsidRPr="00DA713A">
          <w:rPr>
            <w:rFonts w:ascii="Arial" w:hAnsi="Arial" w:cs="Arial"/>
            <w:color w:val="000000" w:themeColor="text1"/>
            <w:sz w:val="28"/>
            <w:szCs w:val="28"/>
          </w:rPr>
          <w:t>статьей 137</w:t>
        </w:r>
      </w:hyperlink>
      <w:r w:rsidRPr="00DA713A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DA713A" w:rsidRPr="00DA713A" w:rsidRDefault="00DA713A" w:rsidP="00DA7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C0FA9" w:rsidRPr="00DA713A" w:rsidRDefault="00DA713A" w:rsidP="00DA713A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Pr="00DA713A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DA713A">
        <w:rPr>
          <w:color w:val="000000" w:themeColor="text1"/>
          <w:sz w:val="28"/>
          <w:szCs w:val="28"/>
        </w:rPr>
        <w:t xml:space="preserve"> </w:t>
      </w:r>
      <w:r w:rsidRPr="00DA713A">
        <w:rPr>
          <w:rFonts w:ascii="Arial" w:hAnsi="Arial" w:cs="Arial"/>
          <w:b/>
          <w:color w:val="000000" w:themeColor="text1"/>
          <w:sz w:val="28"/>
          <w:szCs w:val="28"/>
        </w:rPr>
        <w:t xml:space="preserve">Письмо ФНС России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DA713A">
        <w:rPr>
          <w:rFonts w:ascii="Arial" w:hAnsi="Arial" w:cs="Arial"/>
          <w:b/>
          <w:color w:val="000000" w:themeColor="text1"/>
          <w:sz w:val="28"/>
          <w:szCs w:val="28"/>
        </w:rPr>
        <w:t>от 27.04.2022 N БС-3-21/4231@</w:t>
      </w:r>
    </w:p>
    <w:sectPr w:rsidR="00BC0FA9" w:rsidRPr="00DA713A" w:rsidSect="00156A6E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A713A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625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E37BC3E703CECB1785936FF94B6229DBA65FEE3E7305C1168D3A16B813AB3B086080D6D77AE94565D0AED6E71A4C261D5BA616B6AEAF3pCGC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5E37BC3E703CECB1785936FF94B6229DBA65FEE3E7305C1168D3A16B813AB3B086080D6D77AE975F5D0AED6E71A4C261D5BA616B6AEAF3pCGC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E37BC3E703CECB1785936FF94B6229DBA65FEE2E6305C1168D3A16B813AB3B086080D6D75A5905E5D0AED6E71A4C261D5BA616B6AEAF3pCG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E37BC3E703CECB1785936FF94B6229DBA65FEE3E7305C1168D3A16B813AB3B086080E6D72A3925D020FF87F29A8C478CBBF7A7768E8pFG3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E37BC3E703CECB1785936FF94B6229DBA65FEE3E7305C1168D3A16B813AB3B086080E6D72A39E5D020FF87F29A8C478CBBF7A7768E8pFG3C" TargetMode="External"/><Relationship Id="rId10" Type="http://schemas.openxmlformats.org/officeDocument/2006/relationships/hyperlink" Target="consultantplus://offline/ref=E25E37BC3E703CECB1785936FF94B6229ABA63FEE6E4305C1168D3A16B813AB3A28650016C73B99653485CBC28p2G6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5E37BC3E703CECB1785936FF94B6229DBA65FEE3E7305C1168D3A16B813AB3B086080A647CACC207120BB12B23B7C363D5B86477p6GA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D679-1BEB-4B4C-AB24-63A9B7F3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2022-05-17T02:08:00Z</dcterms:created>
  <dcterms:modified xsi:type="dcterms:W3CDTF">2022-05-17T02:11:00Z</dcterms:modified>
</cp:coreProperties>
</file>